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</w:rPr>
      </w:pPr>
      <w:r>
        <w:rPr>
          <w:rFonts w:eastAsia="Times New Roman"/>
          <w:b/>
          <w:bCs/>
          <w:sz w:val="18"/>
          <w:szCs w:val="18"/>
        </w:rPr>
        <w:t>АО АИКБ «ЕНИСЕЙСКИЙ ОБЪЕДИНЕННЫЙ БАНК»</w:t>
      </w:r>
    </w:p>
    <w:p>
      <w:pPr>
        <w:pStyle w:val="Normal"/>
        <w:spacing w:lineRule="exact" w:line="2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9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УТВЕРЖДЕНО:</w:t>
      </w:r>
    </w:p>
    <w:p>
      <w:pPr>
        <w:pStyle w:val="Normal"/>
        <w:spacing w:lineRule="exact" w:line="20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Правлением АО АИКБ </w:t>
      </w:r>
    </w:p>
    <w:p>
      <w:pPr>
        <w:pStyle w:val="Normal"/>
        <w:spacing w:lineRule="exact" w:line="200"/>
        <w:jc w:val="right"/>
        <w:rPr>
          <w:sz w:val="24"/>
          <w:szCs w:val="24"/>
        </w:rPr>
      </w:pPr>
      <w:r>
        <w:rPr>
          <w:sz w:val="24"/>
          <w:szCs w:val="24"/>
        </w:rPr>
        <w:t>«Енисейский объединенный банк»</w:t>
      </w:r>
    </w:p>
    <w:p>
      <w:pPr>
        <w:pStyle w:val="Normal"/>
        <w:spacing w:lineRule="exact" w:line="200"/>
        <w:jc w:val="righ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jc w:val="right"/>
        <w:rPr>
          <w:sz w:val="24"/>
          <w:szCs w:val="24"/>
        </w:rPr>
      </w:pPr>
      <w:r>
        <w:rPr>
          <w:sz w:val="24"/>
          <w:szCs w:val="24"/>
        </w:rPr>
        <w:t>Протокол №0726/1 от 26.07.2018 г.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6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139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</w:rPr>
        <w:t>ПОЛИТИКА</w:t>
      </w:r>
    </w:p>
    <w:p>
      <w:pPr>
        <w:pStyle w:val="Normal"/>
        <w:ind w:right="-39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</w:rPr>
        <w:t>СОВЕРШЕНИЯ ТОРГОВЫХ</w:t>
      </w:r>
    </w:p>
    <w:p>
      <w:pPr>
        <w:pStyle w:val="Normal"/>
        <w:ind w:right="-39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</w:rPr>
        <w:t>ОПЕРАЦИЙ ЗА СЧЕТ КЛИЕНТОВ</w:t>
      </w:r>
    </w:p>
    <w:p>
      <w:pPr>
        <w:pStyle w:val="Normal"/>
        <w:ind w:right="-39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8"/>
          <w:szCs w:val="38"/>
        </w:rPr>
        <w:t>АО АИКБ «ЕНИСЕЙСКИЙ ОБЪЕДИ</w:t>
      </w:r>
      <w:r>
        <w:rPr>
          <w:rFonts w:eastAsia="Times New Roman"/>
          <w:b/>
          <w:bCs/>
          <w:sz w:val="38"/>
          <w:szCs w:val="38"/>
        </w:rPr>
        <w:t>Н</w:t>
      </w:r>
      <w:r>
        <w:rPr>
          <w:rFonts w:eastAsia="Times New Roman"/>
          <w:b/>
          <w:bCs/>
          <w:sz w:val="38"/>
          <w:szCs w:val="38"/>
        </w:rPr>
        <w:t>ЕННЫЙ БАНК»</w:t>
      </w:r>
    </w:p>
    <w:p>
      <w:pPr>
        <w:pStyle w:val="Normal"/>
        <w:spacing w:lineRule="exact" w:line="20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99" w:hanging="0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37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right="-59" w:hanging="0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Г. КРАСНОЯРСК</w:t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420" w:right="1406" w:header="0" w:top="1105" w:footer="0" w:bottom="380" w:gutter="0"/>
          <w:pgNumType w:fmt="decimal"/>
          <w:formProt w:val="false"/>
          <w:textDirection w:val="lrTb"/>
          <w:docGrid w:type="default" w:linePitch="240" w:charSpace="4294965247"/>
        </w:sectPr>
        <w:pStyle w:val="Normal"/>
        <w:spacing w:lineRule="exact" w:line="20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left" w:pos="701" w:leader="none"/>
        </w:tabs>
        <w:ind w:left="701" w:hanging="701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ОСНОВНЫЕ ПОНЯТИЯ И ОПРЕДЕЛЕНИЯ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1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Банк </w:t>
      </w:r>
      <w:r>
        <w:rPr>
          <w:rFonts w:eastAsia="Times New Roman"/>
          <w:sz w:val="24"/>
          <w:szCs w:val="24"/>
        </w:rPr>
        <w:t>– Акционерный инвестиционный коммерческий банк «Енисейский объединенный банк» (акционерное общество)</w:t>
      </w:r>
    </w:p>
    <w:p>
      <w:pPr>
        <w:pStyle w:val="Normal"/>
        <w:ind w:left="1" w:firstLine="708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Договор – </w:t>
      </w:r>
      <w:r>
        <w:rPr>
          <w:rFonts w:eastAsia="Times New Roman"/>
          <w:sz w:val="24"/>
          <w:szCs w:val="24"/>
        </w:rPr>
        <w:t>соглашение, заключаемое Банком с Клиентом путем присоединения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Клиента к Регламенту оказания брокерских услуг на рынке ценных бумаг АО АИКБ «Енисейский объединенный банк» (далее – Регламент) в целом в соответствии со статьей 428 Гражданского кодекса Российской Федерации и предусматривающее порядок оказания Банком услуг Клиенту в качестве профессионального участника рынка ценных бумаг </w:t>
      </w:r>
    </w:p>
    <w:p>
      <w:pPr>
        <w:pStyle w:val="Normal"/>
        <w:ind w:left="1" w:firstLine="72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Закрытие позиции - </w:t>
      </w:r>
      <w:r>
        <w:rPr>
          <w:rFonts w:eastAsia="Times New Roman"/>
          <w:sz w:val="24"/>
          <w:szCs w:val="24"/>
        </w:rPr>
        <w:t>сделка или несколько сделок, совершенных Банком, в целях погашения задолженности Клиента по непокрытым позициям, прекращения обязательств по иным сделкам, совершенным за счет Клиента, или снижения рисков по Срочным сделкам.</w:t>
      </w:r>
    </w:p>
    <w:p>
      <w:pPr>
        <w:pStyle w:val="Normal"/>
        <w:ind w:left="1" w:firstLine="72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Клиент – </w:t>
      </w:r>
      <w:r>
        <w:rPr>
          <w:rFonts w:eastAsia="Times New Roman"/>
          <w:sz w:val="24"/>
          <w:szCs w:val="24"/>
        </w:rPr>
        <w:t>юридическое или физическое лицо, резидент или нерезидент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Российской Федерации, заключивший с Банком Договор. </w:t>
      </w:r>
    </w:p>
    <w:p>
      <w:pPr>
        <w:pStyle w:val="Normal"/>
        <w:ind w:left="1" w:right="20" w:firstLine="72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Торговая система - </w:t>
      </w:r>
      <w:r>
        <w:rPr>
          <w:rFonts w:eastAsia="Times New Roman"/>
          <w:sz w:val="24"/>
          <w:szCs w:val="24"/>
        </w:rPr>
        <w:t>организатор торговли,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оказывающий услуги по проведению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организованных торгов на товарном и (или) финансовом рынках на основании лицензии биржи или лицензии торговой системы.</w:t>
      </w:r>
    </w:p>
    <w:p>
      <w:pPr>
        <w:pStyle w:val="Normal"/>
        <w:ind w:left="1" w:right="20" w:firstLine="708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Поручение – </w:t>
      </w:r>
      <w:r>
        <w:rPr>
          <w:rFonts w:eastAsia="Times New Roman"/>
          <w:sz w:val="24"/>
          <w:szCs w:val="24"/>
        </w:rPr>
        <w:t>указание Клиента Банку совершить одну или несколько сделок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имуществом Клиента в соответствии с Договором.</w:t>
      </w:r>
    </w:p>
    <w:p>
      <w:pPr>
        <w:pStyle w:val="Normal"/>
        <w:ind w:left="1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QUIK - </w:t>
      </w:r>
      <w:r>
        <w:rPr>
          <w:rFonts w:eastAsia="Times New Roman"/>
          <w:sz w:val="24"/>
          <w:szCs w:val="24"/>
        </w:rPr>
        <w:t>специализированный программно-технический комплекс, посредством которого Клиент имеет возможность получать в режиме реального времени текущую финансовую информацию с рынков, направлять АО АИКБ «Енисейский объединенный банк» поручения на сделки, получать от АО АИКБ «Енисейский объединенный банк» (и/или торговой системы) подтверждения и отчеты</w:t>
      </w:r>
    </w:p>
    <w:p>
      <w:pPr>
        <w:pStyle w:val="Normal"/>
        <w:ind w:left="1"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Все термины и определения, используемые в Политике, имеют значения, указанные в Договоре.</w:t>
      </w:r>
    </w:p>
    <w:p>
      <w:pPr>
        <w:pStyle w:val="Style18"/>
        <w:tabs>
          <w:tab w:val="left" w:pos="851" w:leader="none"/>
        </w:tabs>
        <w:spacing w:lineRule="auto" w:line="240" w:before="0" w:after="0"/>
        <w:ind w:left="284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2"/>
        </w:numPr>
        <w:tabs>
          <w:tab w:val="left" w:pos="701" w:leader="none"/>
        </w:tabs>
        <w:ind w:left="701" w:hanging="701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" w:firstLine="708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>Политика регламентирует условия и порядок совершения операций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рамках брокерского обслуживания Клиентов, включая операции с ценными бумагами и денежными средствами, исполнения Поручений Клиентов.</w:t>
      </w:r>
    </w:p>
    <w:p>
      <w:pPr>
        <w:pStyle w:val="Normal"/>
        <w:ind w:left="1" w:firstLine="708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2.2. </w:t>
      </w:r>
      <w:r>
        <w:rPr>
          <w:rFonts w:eastAsia="Times New Roman"/>
          <w:sz w:val="24"/>
          <w:szCs w:val="24"/>
        </w:rPr>
        <w:t>Политика применяется при исполнении Поручений в Торговой системе.</w:t>
      </w:r>
    </w:p>
    <w:p>
      <w:pPr>
        <w:pStyle w:val="Normal"/>
        <w:tabs>
          <w:tab w:val="left" w:pos="1461" w:leader="none"/>
        </w:tabs>
        <w:ind w:left="701" w:hanging="0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2.3.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Политика не распространяется:</w:t>
      </w:r>
    </w:p>
    <w:p>
      <w:pPr>
        <w:pStyle w:val="Normal"/>
        <w:numPr>
          <w:ilvl w:val="1"/>
          <w:numId w:val="3"/>
        </w:numPr>
        <w:tabs>
          <w:tab w:val="left" w:pos="1420" w:leader="none"/>
        </w:tabs>
        <w:ind w:left="1" w:right="20" w:firstLine="707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на Поручения эмитентов ценных бумаг, связанные с размещением и/или выкупом собственных ценных бумаг;</w:t>
      </w:r>
    </w:p>
    <w:p>
      <w:pPr>
        <w:pStyle w:val="Normal"/>
        <w:numPr>
          <w:ilvl w:val="1"/>
          <w:numId w:val="3"/>
        </w:numPr>
        <w:tabs>
          <w:tab w:val="left" w:pos="1420" w:leader="none"/>
        </w:tabs>
        <w:ind w:left="1" w:firstLine="707"/>
        <w:jc w:val="both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на Поручения Клиента, являющегося квалифицированным инвестором в силу закона, или иностранной организацией в случаях, когда указанные лица действуют за свой счет, если Договор освобождает Банк от обязанности исполнять поручение Клиента на лучших условиях;</w:t>
      </w:r>
    </w:p>
    <w:p>
      <w:pPr>
        <w:pStyle w:val="Normal"/>
        <w:numPr>
          <w:ilvl w:val="1"/>
          <w:numId w:val="3"/>
        </w:numPr>
        <w:tabs>
          <w:tab w:val="left" w:pos="1420" w:leader="none"/>
        </w:tabs>
        <w:ind w:left="1" w:right="20" w:firstLine="707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на Поручения Клиента, поданные в связи со снижением стоимости портфеля Клиента ниже соответствующего ему размера минимальной маржи;</w:t>
      </w:r>
    </w:p>
    <w:p>
      <w:pPr>
        <w:pStyle w:val="Normal"/>
        <w:numPr>
          <w:ilvl w:val="1"/>
          <w:numId w:val="3"/>
        </w:numPr>
        <w:tabs>
          <w:tab w:val="left" w:pos="1420" w:leader="none"/>
        </w:tabs>
        <w:ind w:left="1" w:right="20" w:firstLine="707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на Поручения Клиента, поданные Клиентом самостоятельно в торговую систему посредством терминал </w:t>
      </w:r>
      <w:r>
        <w:rPr>
          <w:rFonts w:eastAsia="Times New Roman"/>
          <w:sz w:val="24"/>
          <w:szCs w:val="24"/>
          <w:lang w:val="en-US"/>
        </w:rPr>
        <w:t>QUIK</w:t>
      </w:r>
      <w:r>
        <w:rPr>
          <w:rFonts w:eastAsia="Times New Roman"/>
          <w:sz w:val="24"/>
          <w:szCs w:val="24"/>
        </w:rPr>
        <w:t>, предусмотренного Договором;</w:t>
      </w:r>
    </w:p>
    <w:p>
      <w:pPr>
        <w:pStyle w:val="Normal"/>
        <w:numPr>
          <w:ilvl w:val="1"/>
          <w:numId w:val="3"/>
        </w:numPr>
        <w:tabs>
          <w:tab w:val="left" w:pos="1420" w:leader="none"/>
        </w:tabs>
        <w:ind w:left="1" w:firstLine="707"/>
        <w:jc w:val="both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на условия исполнения Поручения, предусмотренные Договором с Клиентом либо самим Поручением, в том числе включая, но не ограничиваясь, когда Клиент поручил Банку сделать третьему лицу предложение на совершение торговой операции с указанием цены и (или) иных условий, которые Банк в соответствии с условиями Договора не вправе изменять, либо принять конкретное предложение третьего лица на совершение сделки по указанной в нем цене и (или) на указанных в нем иных условиях.</w:t>
      </w:r>
    </w:p>
    <w:p>
      <w:pPr>
        <w:pStyle w:val="Normal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</w:r>
    </w:p>
    <w:p>
      <w:pPr>
        <w:pStyle w:val="Normal"/>
        <w:numPr>
          <w:ilvl w:val="0"/>
          <w:numId w:val="3"/>
        </w:numPr>
        <w:tabs>
          <w:tab w:val="left" w:pos="701" w:leader="none"/>
        </w:tabs>
        <w:ind w:left="701" w:hanging="701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И ПОРЯДОК ИСПОЛНЕНИЯ ПОРУЧЕНИЙ КЛИЕНТОВ</w:t>
      </w:r>
    </w:p>
    <w:p>
      <w:pPr>
        <w:pStyle w:val="Normal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</w:r>
    </w:p>
    <w:p>
      <w:pPr>
        <w:pStyle w:val="Normal"/>
        <w:ind w:left="701" w:hanging="0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3.1. </w:t>
      </w:r>
      <w:r>
        <w:rPr>
          <w:rFonts w:eastAsia="Times New Roman"/>
          <w:sz w:val="24"/>
          <w:szCs w:val="24"/>
        </w:rPr>
        <w:t>Исполнение поручений Клиента во всех случаях подлежит</w:t>
      </w:r>
    </w:p>
    <w:p>
      <w:pPr>
        <w:pStyle w:val="Normal"/>
        <w:ind w:left="1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приоритетному исполнению по сравнению с дилерскими операциями Банка.</w:t>
      </w:r>
    </w:p>
    <w:p>
      <w:pPr>
        <w:pStyle w:val="Normal"/>
        <w:ind w:left="1" w:right="20" w:firstLine="708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3.2. </w:t>
      </w:r>
      <w:r>
        <w:rPr>
          <w:rFonts w:eastAsia="Times New Roman"/>
          <w:sz w:val="24"/>
          <w:szCs w:val="24"/>
        </w:rPr>
        <w:t>Поручения Клиентов,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принятые Банком,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исполняются в порядке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очередности их поступления.</w:t>
      </w:r>
    </w:p>
    <w:p>
      <w:pPr>
        <w:pStyle w:val="Normal"/>
        <w:ind w:left="1" w:right="20" w:firstLine="708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3.3. </w:t>
      </w:r>
      <w:r>
        <w:rPr>
          <w:rFonts w:eastAsia="Times New Roman"/>
          <w:sz w:val="24"/>
          <w:szCs w:val="24"/>
        </w:rPr>
        <w:t>Банк исполняет Поручения Клиентов при одновременном соблюдении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следующих условий:</w:t>
      </w:r>
    </w:p>
    <w:p>
      <w:pPr>
        <w:pStyle w:val="Normal"/>
        <w:numPr>
          <w:ilvl w:val="0"/>
          <w:numId w:val="4"/>
        </w:numPr>
        <w:tabs>
          <w:tab w:val="left" w:pos="1421" w:leader="none"/>
        </w:tabs>
        <w:ind w:left="1421" w:hanging="713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Поручение подано способом, предусмотренным Договором;</w:t>
      </w:r>
    </w:p>
    <w:p>
      <w:pPr>
        <w:pStyle w:val="Normal"/>
        <w:numPr>
          <w:ilvl w:val="0"/>
          <w:numId w:val="4"/>
        </w:numPr>
        <w:tabs>
          <w:tab w:val="left" w:pos="1420" w:leader="none"/>
        </w:tabs>
        <w:ind w:left="1" w:right="20" w:firstLine="707"/>
        <w:jc w:val="both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Поручение содержит все существенные условия, установленные Договором, а также содержит обязательные реквизиты и/или соответствует установленной форме;</w:t>
      </w:r>
    </w:p>
    <w:p>
      <w:pPr>
        <w:pStyle w:val="Normal"/>
        <w:numPr>
          <w:ilvl w:val="0"/>
          <w:numId w:val="4"/>
        </w:numPr>
        <w:tabs>
          <w:tab w:val="left" w:pos="1420" w:leader="none"/>
        </w:tabs>
        <w:ind w:left="1" w:right="20" w:firstLine="707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наступил срок и/или условие исполнения Поручения, если Поручение содержит срок и/или условие его исполнения;</w:t>
      </w:r>
    </w:p>
    <w:p>
      <w:pPr>
        <w:pStyle w:val="Normal"/>
        <w:numPr>
          <w:ilvl w:val="0"/>
          <w:numId w:val="4"/>
        </w:numPr>
        <w:tabs>
          <w:tab w:val="left" w:pos="1420" w:leader="none"/>
        </w:tabs>
        <w:ind w:left="1" w:right="20" w:firstLine="707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отсутствуют основания для отказа в приеме и/или исполнении Поручения, установленные Договором, законодательством Российской Федерации или стандартами саморегулируемых организаций профессиональных участников рынка ценных бумаг.</w:t>
      </w:r>
    </w:p>
    <w:p>
      <w:pPr>
        <w:pStyle w:val="Normal"/>
        <w:ind w:left="1" w:firstLine="708"/>
        <w:jc w:val="both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3.4. </w:t>
      </w:r>
      <w:r>
        <w:rPr>
          <w:rFonts w:eastAsia="Times New Roman"/>
          <w:sz w:val="24"/>
          <w:szCs w:val="24"/>
        </w:rPr>
        <w:t>Банк,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 исключением случаев,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указанных в п.3.6.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настоящей Политики,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 основании информации, предусмотренной п. 3.5. настоящей Политики, принимает все разумные меры для исполнения Поручений Клиентов, в т.ч. при закрытии позиции Клиента, на лучших условиях в соответствии с условиями Поручения и Договора с Клиентом (далее - Лучшие условия).</w:t>
      </w:r>
    </w:p>
    <w:p>
      <w:pPr>
        <w:pStyle w:val="Normal"/>
        <w:ind w:left="700" w:hanging="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Требование настоящего пункта считается исполненным, в случае если:</w:t>
      </w:r>
    </w:p>
    <w:p>
      <w:pPr>
        <w:pStyle w:val="Normal"/>
        <w:numPr>
          <w:ilvl w:val="0"/>
          <w:numId w:val="5"/>
        </w:numPr>
        <w:tabs>
          <w:tab w:val="left" w:pos="1418" w:leader="none"/>
        </w:tabs>
        <w:ind w:left="0" w:firstLine="707"/>
        <w:jc w:val="both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Поручение было исполнено в Торговой системе на основе заявок на покупку и заявок на продажу ценных бумаг и (или) заявок на заключение договора, являющегося производным финансовым инструментом, по наилучшим из указанных в них ценам при том, что заявки были адресованы всем участникам торгов и информация, позволяющая идентифицировать подавших заявки участников торгов, не раскрывалась в ходе торгов другим участникам;</w:t>
      </w:r>
    </w:p>
    <w:p>
      <w:pPr>
        <w:pStyle w:val="Normal"/>
        <w:numPr>
          <w:ilvl w:val="0"/>
          <w:numId w:val="5"/>
        </w:numPr>
        <w:tabs>
          <w:tab w:val="left" w:pos="1418" w:leader="none"/>
        </w:tabs>
        <w:ind w:left="0" w:right="20" w:firstLine="707"/>
        <w:jc w:val="both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из существа Поручения, Договора или характеристик финансового инструмента, в отношении которого было дано Поручение, следовала обязанность Банка исполнить это Поручение не иначе как на торгах указанного организатора торговли.</w:t>
      </w:r>
    </w:p>
    <w:p>
      <w:pPr>
        <w:pStyle w:val="Normal"/>
        <w:ind w:right="20" w:firstLine="708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3.5. </w:t>
      </w:r>
      <w:r>
        <w:rPr>
          <w:rFonts w:eastAsia="Times New Roman"/>
          <w:sz w:val="24"/>
          <w:szCs w:val="24"/>
        </w:rPr>
        <w:t>Исполнение Поручений осуществляется Банком в порядке и на условиях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Поручения Клиента с учетом:</w:t>
      </w:r>
    </w:p>
    <w:p>
      <w:pPr>
        <w:pStyle w:val="Normal"/>
        <w:numPr>
          <w:ilvl w:val="0"/>
          <w:numId w:val="5"/>
        </w:numPr>
        <w:tabs>
          <w:tab w:val="left" w:pos="1420" w:leader="none"/>
        </w:tabs>
        <w:ind w:left="1420" w:hanging="713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цены сделки;</w:t>
      </w:r>
    </w:p>
    <w:p>
      <w:pPr>
        <w:pStyle w:val="Normal"/>
        <w:numPr>
          <w:ilvl w:val="0"/>
          <w:numId w:val="5"/>
        </w:numPr>
        <w:tabs>
          <w:tab w:val="left" w:pos="1420" w:leader="none"/>
        </w:tabs>
        <w:ind w:left="1420" w:hanging="713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расходов, связанных с исполнением Поручения, в т.ч. расчетов по сделке;</w:t>
      </w:r>
    </w:p>
    <w:p>
      <w:pPr>
        <w:pStyle w:val="Normal"/>
        <w:numPr>
          <w:ilvl w:val="0"/>
          <w:numId w:val="5"/>
        </w:numPr>
        <w:tabs>
          <w:tab w:val="left" w:pos="1420" w:leader="none"/>
        </w:tabs>
        <w:ind w:left="1420" w:hanging="713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срока исполнения Поручения;</w:t>
      </w:r>
    </w:p>
    <w:p>
      <w:pPr>
        <w:pStyle w:val="Normal"/>
        <w:numPr>
          <w:ilvl w:val="0"/>
          <w:numId w:val="5"/>
        </w:numPr>
        <w:tabs>
          <w:tab w:val="left" w:pos="1420" w:leader="none"/>
        </w:tabs>
        <w:ind w:left="1420" w:hanging="713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возможности исполнения Поручения в полном объеме;</w:t>
      </w:r>
    </w:p>
    <w:p>
      <w:pPr>
        <w:pStyle w:val="Normal"/>
        <w:numPr>
          <w:ilvl w:val="0"/>
          <w:numId w:val="5"/>
        </w:numPr>
        <w:tabs>
          <w:tab w:val="left" w:pos="0" w:leader="none"/>
        </w:tabs>
        <w:ind w:left="0" w:right="20" w:firstLine="709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рисков неисполнения сделки, а также признания совершенной сделки недействительной;</w:t>
      </w:r>
    </w:p>
    <w:p>
      <w:pPr>
        <w:pStyle w:val="Normal"/>
        <w:numPr>
          <w:ilvl w:val="0"/>
          <w:numId w:val="5"/>
        </w:numPr>
        <w:tabs>
          <w:tab w:val="left" w:pos="1420" w:leader="none"/>
        </w:tabs>
        <w:ind w:left="1420" w:hanging="713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периода времени, в который должна быть совершена сделка;</w:t>
      </w:r>
    </w:p>
    <w:p>
      <w:pPr>
        <w:pStyle w:val="Normal"/>
        <w:numPr>
          <w:ilvl w:val="0"/>
          <w:numId w:val="5"/>
        </w:numPr>
        <w:tabs>
          <w:tab w:val="left" w:pos="1420" w:leader="none"/>
        </w:tabs>
        <w:ind w:left="1420" w:hanging="713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иной информации, имеющей значение для Клиента;</w:t>
      </w:r>
    </w:p>
    <w:p>
      <w:pPr>
        <w:pStyle w:val="Normal"/>
        <w:numPr>
          <w:ilvl w:val="0"/>
          <w:numId w:val="5"/>
        </w:numPr>
        <w:tabs>
          <w:tab w:val="left" w:pos="1420" w:leader="none"/>
        </w:tabs>
        <w:ind w:left="1420" w:hanging="713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внутренних ограничений Банка на совершение сделок;</w:t>
      </w:r>
    </w:p>
    <w:p>
      <w:pPr>
        <w:pStyle w:val="Normal"/>
        <w:numPr>
          <w:ilvl w:val="0"/>
          <w:numId w:val="5"/>
        </w:numPr>
        <w:tabs>
          <w:tab w:val="left" w:pos="1418" w:leader="none"/>
        </w:tabs>
        <w:ind w:left="0" w:firstLine="709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существа Поручения, включая условия и специальные (дополнительные) условия, установленные в Поручении Клиента;</w:t>
      </w:r>
    </w:p>
    <w:p>
      <w:pPr>
        <w:pStyle w:val="Normal"/>
        <w:numPr>
          <w:ilvl w:val="0"/>
          <w:numId w:val="5"/>
        </w:numPr>
        <w:tabs>
          <w:tab w:val="left" w:pos="1418" w:leader="none"/>
        </w:tabs>
        <w:ind w:left="0" w:right="20" w:firstLine="709"/>
        <w:jc w:val="both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характеристик финансового инструмента, являющегося предметом Поручения Клиента;</w:t>
      </w:r>
    </w:p>
    <w:p>
      <w:pPr>
        <w:pStyle w:val="Normal"/>
        <w:numPr>
          <w:ilvl w:val="0"/>
          <w:numId w:val="5"/>
        </w:numPr>
        <w:tabs>
          <w:tab w:val="left" w:pos="1420" w:leader="none"/>
        </w:tabs>
        <w:ind w:left="1420" w:hanging="713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любых иных факторов, способных влиять на исполнение Поручения.</w:t>
      </w:r>
    </w:p>
    <w:p>
      <w:pPr>
        <w:pStyle w:val="Normal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3.6. </w:t>
      </w:r>
      <w:r>
        <w:rPr>
          <w:rFonts w:eastAsia="Times New Roman"/>
          <w:sz w:val="24"/>
          <w:szCs w:val="24"/>
        </w:rPr>
        <w:t>Банк при исполнении Поручения Клиента действует в соответствии с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условиями Договора и/или Поручения Клиента и имеет право улучшить условия Поручения, но не обязан пытаться улучшить условия, установленные Клиентом в Поручении, в случае если Договором и /или Поручением Клиента установлены порядок и/или условия исполнения Поручений Клиента: место исполнения (организатор торгов и/или режим торгов), контрагент, цена сделки и/или лимит цены сделки, срок исполнения и т.д.</w:t>
      </w:r>
    </w:p>
    <w:p>
      <w:pPr>
        <w:pStyle w:val="Normal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3.7.</w:t>
      </w:r>
      <w:r>
        <w:rPr>
          <w:rFonts w:eastAsia="Times New Roman"/>
          <w:sz w:val="24"/>
          <w:szCs w:val="24"/>
        </w:rPr>
        <w:tab/>
        <w:t>При исполнении Поручения с учетом сложившихся обстоятельств,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рыночных условий и интересов Клиента Банк принимает все разумные и доступные меры по выявлению лучших условий, на которых может быть совершена сделка с учетом следующих условий:</w:t>
      </w:r>
    </w:p>
    <w:p>
      <w:pPr>
        <w:pStyle w:val="Normal"/>
        <w:numPr>
          <w:ilvl w:val="0"/>
          <w:numId w:val="6"/>
        </w:numPr>
        <w:tabs>
          <w:tab w:val="left" w:pos="1420" w:leader="none"/>
        </w:tabs>
        <w:ind w:left="1420" w:hanging="713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лучшая цена сделки на момент исполнения Поручения;</w:t>
      </w:r>
    </w:p>
    <w:p>
      <w:pPr>
        <w:pStyle w:val="Normal"/>
        <w:numPr>
          <w:ilvl w:val="0"/>
          <w:numId w:val="6"/>
        </w:numPr>
        <w:tabs>
          <w:tab w:val="left" w:pos="1420" w:leader="none"/>
        </w:tabs>
        <w:ind w:left="1420" w:hanging="713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минимальные расходы на совершение сделки и расчеты по ней;</w:t>
      </w:r>
    </w:p>
    <w:p>
      <w:pPr>
        <w:pStyle w:val="Normal"/>
        <w:numPr>
          <w:ilvl w:val="0"/>
          <w:numId w:val="6"/>
        </w:numPr>
        <w:tabs>
          <w:tab w:val="left" w:pos="1420" w:leader="none"/>
        </w:tabs>
        <w:ind w:left="1420" w:hanging="713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минимальный срок исполнения сделки;</w:t>
      </w:r>
    </w:p>
    <w:p>
      <w:pPr>
        <w:pStyle w:val="Normal"/>
        <w:numPr>
          <w:ilvl w:val="0"/>
          <w:numId w:val="6"/>
        </w:numPr>
        <w:tabs>
          <w:tab w:val="left" w:pos="1420" w:leader="none"/>
        </w:tabs>
        <w:ind w:left="1420" w:hanging="713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исполнение поручения, по возможности, в полном объеме;</w:t>
      </w:r>
    </w:p>
    <w:p>
      <w:pPr>
        <w:pStyle w:val="Normal"/>
        <w:numPr>
          <w:ilvl w:val="0"/>
          <w:numId w:val="6"/>
        </w:numPr>
        <w:tabs>
          <w:tab w:val="left" w:pos="709" w:leader="none"/>
        </w:tabs>
        <w:ind w:left="0" w:right="20" w:firstLine="709"/>
        <w:jc w:val="both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sz w:val="24"/>
          <w:szCs w:val="24"/>
        </w:rPr>
        <w:t>минимизация рисков неисполнения сделки, а также признания совершенной сделки недействительной.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 xml:space="preserve">3.7.1. </w:t>
      </w:r>
      <w:r>
        <w:rPr>
          <w:rFonts w:eastAsia="Times New Roman"/>
          <w:sz w:val="24"/>
          <w:szCs w:val="24"/>
        </w:rPr>
        <w:t>Банк при исполнении Поручения Клиента,</w:t>
      </w:r>
      <w:r>
        <w:rPr>
          <w:rFonts w:eastAsia="Arial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исходя из сложившихся</w:t>
      </w:r>
      <w:r>
        <w:rPr>
          <w:rFonts w:eastAsia="Arial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обстоятельств, самостоятельно определяет приоритетность условий, перечисленных в первом абзаце пункта 3.8 настоящего документа.</w:t>
      </w:r>
    </w:p>
    <w:p>
      <w:pPr>
        <w:pStyle w:val="Normal"/>
        <w:tabs>
          <w:tab w:val="left" w:pos="1401" w:leader="none"/>
          <w:tab w:val="left" w:pos="5181" w:leader="none"/>
        </w:tabs>
        <w:ind w:firstLine="709"/>
        <w:jc w:val="both"/>
        <w:rPr>
          <w:sz w:val="24"/>
          <w:szCs w:val="24"/>
        </w:rPr>
      </w:pPr>
      <w:r>
        <w:rPr>
          <w:rFonts w:eastAsia="Arial"/>
          <w:b/>
          <w:bCs/>
          <w:sz w:val="24"/>
          <w:szCs w:val="24"/>
        </w:rPr>
        <w:t>3.7.2.</w:t>
      </w:r>
      <w:r>
        <w:rPr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Соблюдение как минимум одного</w:t>
        <w:tab/>
        <w:t>из условий, перечисленных в п. 3.8. настоящего документа, является исполнением Поручения на лучших условиях.</w:t>
      </w:r>
    </w:p>
    <w:p>
      <w:pPr>
        <w:pStyle w:val="Normal"/>
        <w:ind w:left="1" w:firstLine="708"/>
        <w:jc w:val="both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3.8</w:t>
      </w: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</w:rPr>
        <w:t>Банк при исполнении поручения Клиента действует строго в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соответствии с условиями поручения Клиента, условия подачи и исполнения которого установлены Договором.</w:t>
      </w:r>
    </w:p>
    <w:p>
      <w:pPr>
        <w:pStyle w:val="Normal"/>
        <w:rPr>
          <w:rFonts w:eastAsia="Times New Roman"/>
          <w:b/>
          <w:b/>
          <w:bCs/>
          <w:iCs/>
          <w:sz w:val="24"/>
          <w:szCs w:val="24"/>
        </w:rPr>
      </w:pPr>
      <w:r>
        <w:rPr>
          <w:rFonts w:eastAsia="Times New Roman"/>
          <w:b/>
          <w:bCs/>
          <w:iCs/>
          <w:sz w:val="24"/>
          <w:szCs w:val="24"/>
        </w:rPr>
      </w:r>
    </w:p>
    <w:p>
      <w:pPr>
        <w:pStyle w:val="ListParagraph"/>
        <w:numPr>
          <w:ilvl w:val="0"/>
          <w:numId w:val="3"/>
        </w:numPr>
        <w:tabs>
          <w:tab w:val="left" w:pos="709" w:leader="none"/>
        </w:tabs>
        <w:ind w:left="720" w:right="20" w:hanging="360"/>
        <w:jc w:val="both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УСЛОВИЯ И ПОРЯДОК ИСПОЛЬЗОВАНИЯ ЦЕННЫХ БУМАГ КЛИЕНТОВ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" w:firstLine="708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4.1. </w:t>
      </w:r>
      <w:r>
        <w:rPr>
          <w:rFonts w:eastAsia="Times New Roman"/>
          <w:sz w:val="24"/>
          <w:szCs w:val="24"/>
        </w:rPr>
        <w:t>Объединение Банком ценных бумаг Клиентов на торговом счете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(субсчете) депо номинального держателя, а также использование их в качестве клирингового обеспечения не является использованием ценных бумаг в интересах Банка при условии, что ценных бумаг каждого Клиента, объединенных таким образом с ценными бумагами других Клиентов, достаточно для исполнения обязательств из сделок, совершенных за счет такого Клиента, с учетом ценных бумаг, которые должны поступить Клиенту, либо должны быть переданы Клиентом по ранее совершенным, но еще не исполненным сделкам.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7"/>
        </w:numPr>
        <w:tabs>
          <w:tab w:val="left" w:pos="701" w:leader="none"/>
        </w:tabs>
        <w:ind w:left="701" w:hanging="701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ОТСТУПЛЕНИЯ ОТ ПОРЯДКА ИСПОЛНЕНИЯ ПОРУЧЕНИЙ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" w:firstLine="708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5.1. </w:t>
      </w:r>
      <w:r>
        <w:rPr>
          <w:rFonts w:eastAsia="Times New Roman"/>
          <w:sz w:val="24"/>
          <w:szCs w:val="24"/>
        </w:rPr>
        <w:t>В случае если интересы Клиента или иные обстоятельства вынудили Банк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отступить от порядка, установленного настоящей Политикой, Банк по требованию Клиента в течение 5 (пяти) рабочих дней предъявляет объяснение своих действий и подтверждает указанные обстоятельства.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8"/>
        </w:numPr>
        <w:tabs>
          <w:tab w:val="left" w:pos="709" w:leader="none"/>
        </w:tabs>
        <w:ind w:left="1" w:right="20" w:hanging="1"/>
        <w:rPr>
          <w:rFonts w:eastAsia="Times New Roman"/>
          <w:b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РАСКРЫТИЕ ПОЛИТИКИ, ВНЕСЕНИЕ ИЗМЕНЕНИЙ И ДОПОЛНЕНИЙ В ПОЛИТИКУ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1" w:right="20" w:firstLine="708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6.1. </w:t>
      </w:r>
      <w:r>
        <w:rPr>
          <w:rFonts w:eastAsia="Times New Roman"/>
          <w:sz w:val="24"/>
          <w:szCs w:val="24"/>
        </w:rPr>
        <w:t>Внесение изменений и дополнений в настоящую Политику производится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Банком в одностороннем порядке путем публикации изменений на Сайте Банка за 10 (Десять) рабочих дней до даты вступления в силу.</w:t>
      </w:r>
    </w:p>
    <w:p>
      <w:pPr>
        <w:pStyle w:val="Normal"/>
        <w:tabs>
          <w:tab w:val="left" w:pos="1401" w:leader="none"/>
        </w:tabs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6.2.</w:t>
      </w:r>
      <w:r>
        <w:rPr>
          <w:sz w:val="24"/>
          <w:szCs w:val="24"/>
        </w:rPr>
        <w:tab/>
      </w:r>
      <w:r>
        <w:rPr>
          <w:rFonts w:eastAsia="Times New Roman"/>
          <w:sz w:val="24"/>
          <w:szCs w:val="24"/>
        </w:rPr>
        <w:t>Банк имеет право раскрывать информацию об изменениях и дополнениях Политику иными способами, в том числе путем предоставления информации сотрудниками Банка по телефону, рассылки адресных сообщений Клиентам по почте и электронной почте по реквизитам, указанным Клиентами в Анкете Клиента (Депонента).</w:t>
      </w:r>
    </w:p>
    <w:p>
      <w:pPr>
        <w:pStyle w:val="Normal"/>
        <w:ind w:left="1" w:firstLine="708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6.3. </w:t>
      </w:r>
      <w:r>
        <w:rPr>
          <w:rFonts w:eastAsia="Times New Roman"/>
          <w:sz w:val="24"/>
          <w:szCs w:val="24"/>
        </w:rPr>
        <w:t>С целью обеспечения гарантированного получения Клиентами сообщения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об изменениях и/или дополнениях в настоящую Политику Клиент обязан ежедневно самостоятельно обращаться на Сайт Банка за сведениями об изменениях, которые планируется внести в Политику. Банк не несет ответственности за убытки Клиента, причиненные неосведомленностью Клиента, в случае если Банк надлежащим образом выполнил свои обязательства по предварительному раскрытию информации.</w:t>
      </w:r>
    </w:p>
    <w:p>
      <w:pPr>
        <w:pStyle w:val="Normal"/>
        <w:ind w:firstLine="708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6.4. </w:t>
      </w:r>
      <w:r>
        <w:rPr>
          <w:rFonts w:eastAsia="Times New Roman"/>
          <w:sz w:val="24"/>
          <w:szCs w:val="24"/>
        </w:rPr>
        <w:t>Политика считается измененной по истечении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10 (Десяти)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рабочих дней,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начиная с даты публикации сообщения об изменениях на Сайте Банка.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20" w:right="1406" w:header="0" w:top="1105" w:footer="0" w:bottom="3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2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-"/>
      <w:lvlJc w:val="left"/>
      <w:pPr>
        <w:ind w:left="1080" w:hanging="360"/>
      </w:pPr>
      <w:rPr>
        <w:rFonts w:ascii="OpenSymbol" w:hAnsi="OpenSymbol" w:cs="OpenSymbol" w:hint="default"/>
        <w:sz w:val="24"/>
        <w:b/>
        <w:rFonts w:cs="OpenSymbol"/>
      </w:r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b/>
        <w:rFonts w:cs="Open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b/>
        <w:rFonts w:cs="Open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6"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  <w:sz w:val="24"/>
        <w:b/>
        <w:rFonts w:cs="OpenSymbol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7"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8"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9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w="http://schemas.openxmlformats.org/wordprocessingml/2006/main">
  <w:zoom w:percent="11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" w:cs="Times New Roman" w:eastAsiaTheme="minorEastAsia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Times New Roman" w:hAnsi="Times New Roman" w:eastAsia="" w:cs="Times New Roman"/>
      <w:color w:val="00000A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Интернет-ссылка"/>
    <w:basedOn w:val="DefaultParagraphFont"/>
    <w:uiPriority w:val="99"/>
    <w:unhideWhenUsed/>
    <w:rsid w:val="004d5bdc"/>
    <w:rPr>
      <w:color w:val="0000FF"/>
      <w:u w:val="single"/>
    </w:rPr>
  </w:style>
  <w:style w:type="character" w:styleId="ListLabel1" w:customStyle="1">
    <w:name w:val="ListLabel 1"/>
    <w:qFormat/>
    <w:rPr>
      <w:rFonts w:cs="OpenSymbol"/>
      <w:b/>
      <w:sz w:val="24"/>
    </w:rPr>
  </w:style>
  <w:style w:type="character" w:styleId="ListLabel2" w:customStyle="1">
    <w:name w:val="ListLabel 2"/>
    <w:qFormat/>
    <w:rPr>
      <w:rFonts w:cs="OpenSymbol"/>
      <w:b/>
      <w:sz w:val="24"/>
    </w:rPr>
  </w:style>
  <w:style w:type="character" w:styleId="ListLabel3" w:customStyle="1">
    <w:name w:val="ListLabel 3"/>
    <w:qFormat/>
    <w:rPr>
      <w:rFonts w:cs="OpenSymbol"/>
      <w:b/>
      <w:sz w:val="24"/>
    </w:rPr>
  </w:style>
  <w:style w:type="character" w:styleId="ListLabel4" w:customStyle="1">
    <w:name w:val="ListLabel 4"/>
    <w:qFormat/>
    <w:rPr>
      <w:rFonts w:cs="OpenSymbol"/>
      <w:b/>
      <w:sz w:val="24"/>
    </w:rPr>
  </w:style>
  <w:style w:type="character" w:styleId="ListLabel5" w:customStyle="1">
    <w:name w:val="ListLabel 5"/>
    <w:qFormat/>
    <w:rPr>
      <w:rFonts w:cs="OpenSymbol"/>
      <w:sz w:val="24"/>
    </w:rPr>
  </w:style>
  <w:style w:type="character" w:styleId="Style15" w:customStyle="1">
    <w:name w:val="Текст примечания Знак"/>
    <w:basedOn w:val="DefaultParagraphFont"/>
    <w:link w:val="a9"/>
    <w:uiPriority w:val="99"/>
    <w:semiHidden/>
    <w:qFormat/>
    <w:rPr>
      <w:color w:val="00000A"/>
      <w:szCs w:val="20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Style16" w:customStyle="1">
    <w:name w:val="Текст выноски Знак"/>
    <w:basedOn w:val="DefaultParagraphFont"/>
    <w:link w:val="ac"/>
    <w:uiPriority w:val="99"/>
    <w:semiHidden/>
    <w:qFormat/>
    <w:rsid w:val="001212f3"/>
    <w:rPr>
      <w:rFonts w:ascii="Tahoma" w:hAnsi="Tahoma" w:cs="Tahoma"/>
      <w:color w:val="00000A"/>
      <w:sz w:val="16"/>
      <w:szCs w:val="16"/>
    </w:rPr>
  </w:style>
  <w:style w:type="character" w:styleId="ListLabel6">
    <w:name w:val="ListLabel 6"/>
    <w:qFormat/>
    <w:rPr>
      <w:rFonts w:cs="OpenSymbol"/>
      <w:b/>
      <w:sz w:val="24"/>
    </w:rPr>
  </w:style>
  <w:style w:type="character" w:styleId="ListLabel7">
    <w:name w:val="ListLabel 7"/>
    <w:qFormat/>
    <w:rPr>
      <w:rFonts w:cs="OpenSymbol"/>
      <w:b/>
      <w:sz w:val="24"/>
    </w:rPr>
  </w:style>
  <w:style w:type="character" w:styleId="ListLabel8">
    <w:name w:val="ListLabel 8"/>
    <w:qFormat/>
    <w:rPr>
      <w:rFonts w:cs="OpenSymbol"/>
      <w:b/>
      <w:sz w:val="24"/>
    </w:rPr>
  </w:style>
  <w:style w:type="character" w:styleId="ListLabel9">
    <w:name w:val="ListLabel 9"/>
    <w:qFormat/>
    <w:rPr>
      <w:rFonts w:cs="OpenSymbol"/>
      <w:b/>
      <w:sz w:val="24"/>
    </w:rPr>
  </w:style>
  <w:style w:type="character" w:styleId="ListLabel10">
    <w:name w:val="ListLabel 10"/>
    <w:qFormat/>
    <w:rPr>
      <w:rFonts w:cs="OpenSymbol"/>
      <w:sz w:val="24"/>
    </w:rPr>
  </w:style>
  <w:style w:type="paragraph" w:styleId="Style17" w:customStyle="1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6c7582"/>
    <w:pPr>
      <w:spacing w:before="0" w:after="0"/>
      <w:ind w:left="720" w:hanging="0"/>
      <w:contextualSpacing/>
    </w:pPr>
    <w:rPr/>
  </w:style>
  <w:style w:type="paragraph" w:styleId="Annotationtext">
    <w:name w:val="annotation text"/>
    <w:basedOn w:val="Normal"/>
    <w:link w:val="aa"/>
    <w:uiPriority w:val="99"/>
    <w:semiHidden/>
    <w:unhideWhenUsed/>
    <w:qFormat/>
    <w:pPr/>
    <w:rPr>
      <w:sz w:val="20"/>
      <w:szCs w:val="20"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1212f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LibreOffice/5.3.2.2$Windows_x86 LibreOffice_project/6cd4f1ef626f15116896b1d8e1398b56da0d0ee1</Application>
  <Pages>5</Pages>
  <Words>1260</Words>
  <Characters>8437</Characters>
  <CharactersWithSpaces>9599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2018-07-26T05:18:00Z</dcterms:created>
  <dc:creator>Windows User</dc:creator>
  <dc:description/>
  <dc:language>ru-RU</dc:language>
  <cp:lastModifiedBy/>
  <dcterms:modified xsi:type="dcterms:W3CDTF">2018-07-26T16:28:19Z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